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(Başvuru Sahibi Kamu Kurumları)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NKARA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KALKINMA AJANSI GENEL SEKRETERLİĞİNE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tarih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sa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yılı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göre kurulmuş olup Ankara’da faaliyetlerini sürdürmektedir.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5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Yılı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Sürdürülebilir Gıda Sistemleri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urum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umu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z adına “………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kurum/kuruluşumuzu temsile, ilzama ve talebe ilişkin belgeleri imzalamaya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aşağıda tatbik imzası bulunan kurumumuz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Müdürü/Başkanı (vb.) “…………………..”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yetkili kişidir.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Ajans’a sunduğu talebe konu olan faaliyet için, Ajans’tan aynı yıl içinde veya başka bir ulusal/uluslararası programdan aynı anda mali veya teknik destekten yararlanmamaktadır.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T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(KAYS)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 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…/…/20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 Amiri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İmzası ve Mühür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’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nin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(Başvuru Sahibi Mahalli İdareler)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KALKINMA AJANSI GENEL SEKRETERLİĞİNE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tarih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sayılı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göre kurulmuş olup Ankara’da faaliyetlerini sürdürmektedir.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urumumuz adına “………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kurumumuzu temsile, ilzama ve talebe ilişkin belgeleri imzalamaya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aşağıda tatbik imzası bulunan kurumumuz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Müdürü/Başkanı (vb.) “…………………..”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yetkili kişidir.</w:t>
      </w:r>
      <w:r>
        <w:t xml:space="preserve"> </w:t>
      </w:r>
      <w:bookmarkStart w:id="0" w:name="_Hlk161842360"/>
      <w:r>
        <w:rPr>
          <w:rFonts w:ascii="Times New Roman" w:hAnsi="Times New Roman" w:cs="Times New Roman"/>
          <w:sz w:val="24"/>
          <w:szCs w:val="24"/>
          <w:lang w:val="tr-TR"/>
        </w:rPr>
        <w:t xml:space="preserve">İlgili yetkilendirmeye ait karar ekte sunulmuştur.</w:t>
      </w:r>
      <w:bookmarkEnd w:id="0"/>
      <w:r/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T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(KAYS)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kapsamında Ajans’a sunduğu talebe konu olan faaliyet için, Ajans’tan aynı yıl içinde veya başka bir ulusal/uluslararası programdan aynı anda mali veya teknik destekten yararlanmamaktadır.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…/…/20…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 Amiri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İmzası ve Mühür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’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nin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/>
      <w:bookmarkStart w:id="1" w:name="_Hlk161842376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EKLER: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1- Y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(Belediye Meclis Kararı)</w:t>
      </w:r>
      <w:bookmarkEnd w:id="1"/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(Başvuru Sahibi </w:t>
      </w:r>
      <w:bookmarkStart w:id="2" w:name="_Hlk161842420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Devlet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bookmarkEnd w:id="2"/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Üniversiteler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i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KALKINMA AJANSI GENEL SEKRETERLİĞİNE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tarih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sayılı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Kanun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a/Yönetmeliğe/Karara göre kurulmuş olup Ankara’da faaliyetlerini sürdürmektedir.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kapsamın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da 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urumumuz adına “………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kurumumuzu temsile, ilzama ve talebe ilişkin belgeleri imzalamaya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aşağıda tatbik imzası bulunan kurumumuz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Müdürü/Başkanı (vb.) “…………………..” temsile, ilzama ve talebe ilişkin belgeleri imzalamaya yetkili kişidir.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kapsamında Ajans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 sunduğu talebe konu olan faaliyet için, Ajanstan aynı yıl içinde veya başka bir ulusal/uluslararası programdan aynı anda mali veya teknik destekten yararlanmamaktadır.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T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(KAYS)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…/…/20…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                                                                                    Rektör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İmzası ve Mühür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’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nin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Önemli 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Enstitüler, fakülteler, yüksekokullar gibi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rektörlüğe bağlı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tüm birim ve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araştırma merkezleri için Rektör imzası gerekmektedir.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Başvuru Sahibi </w:t>
      </w:r>
      <w:bookmarkStart w:id="3" w:name="_Hlk161842447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Vakıf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 Üniversiteler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i</w:t>
      </w:r>
      <w:bookmarkEnd w:id="3"/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KALKINMA AJANSI GENEL SEKRETERLİĞİNE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tarih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sayılı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Kanun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a/Yönetmeliğe/Karara göre kurulmuş olup Ankara’da faaliyetlerini sürdürmektedir.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kapsamında ………….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sunulan “………..…”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başlıklı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faaliyette kurumumuz ortak olarak yer alacaktır. Bu doğrultuda,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urumumuzu aşağıda tatbik imzası bulunan kurumumuz Müdürü/Başkanı (vb.) “……………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.” temsile, ilzama ve proje belgelerini imzalamaya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yetkilidir.</w:t>
      </w:r>
      <w:bookmarkStart w:id="4" w:name="_Hlk161842464"/>
      <w:r>
        <w:rPr>
          <w:rFonts w:ascii="Times New Roman" w:hAnsi="Times New Roman" w:cs="Times New Roman"/>
          <w:sz w:val="24"/>
          <w:szCs w:val="24"/>
          <w:lang w:val="tr-TR"/>
        </w:rPr>
        <w:t xml:space="preserve"> İlgili yetkilendirmeye ait karar ekte sunulmuştur.</w:t>
      </w:r>
      <w:bookmarkEnd w:id="4"/>
      <w:r/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kapsamında Ajansa sunduğu talebe konu olan faaliyet için, Ajanstan aynı yıl içinde veya başka bir ulusal/uluslararası programdan aynı anda mali veya teknik destekten yararlanmamaktadır.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T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(KAYS)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…/…/20…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                                                                                             Rektör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İmzası ve Mühür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’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nin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/>
      <w:bookmarkStart w:id="5" w:name="_Hlk161842473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EKLER: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1- Y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etkili karar organının aldığı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Mütevelli Heyet Kararı)</w:t>
      </w:r>
      <w:bookmarkEnd w:id="5"/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Önemli 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Enstitüler, fakülteler, yüksekokullar gibi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rektörlüğe bağlı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tüm birim ve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araştırma merkezleri için Rektör imzası gerekmektedir.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(Başvuru Sahibi Kamu Kurumu Niteliğinde Meslek Kuruluşları)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KALKINMA AJANSI GENEL SEKRETERLİĞİNE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tarih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sayılı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 göre kurulmuş olup Ankara’da faaliyetlerini sürdürmektedir.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urumumuz adına “………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uygulanmasına, sunulan faaliyette kurumumuzu temsile, ilzama ve talebe ilişkin belgeleri imzalamaya aşağıda tatbik imzası bulunan kurumumuz Müdürü/Başkanı (vb.) “…………………..” yetkili kişidir.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bookmarkStart w:id="6" w:name="_Hlk161842531"/>
      <w:r>
        <w:rPr>
          <w:rFonts w:ascii="Times New Roman" w:hAnsi="Times New Roman" w:cs="Times New Roman"/>
          <w:sz w:val="24"/>
          <w:szCs w:val="24"/>
          <w:lang w:val="tr-TR"/>
        </w:rPr>
        <w:t xml:space="preserve">İlgili yetkilendirmeye ait karar ekte sunulmuştur.</w:t>
      </w:r>
      <w:bookmarkEnd w:id="6"/>
      <w:r/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bookmarkStart w:id="7" w:name="_GoBack"/>
      <w:r/>
      <w:bookmarkEnd w:id="7"/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psamında Ajans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 sunduğu talebe konu olan faaliyet için, Ajanstan aynı yıl içinde veya başka bir ulusal/uluslararası programdan aynı anda mali veya teknik destekten yararlanmamaktadır.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T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(KAYS)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…/…/20…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 Amiri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İmzası ve Mühür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’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nin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/>
      <w:bookmarkStart w:id="8" w:name="_Hlk161842539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EKLER: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1- Y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bookmarkEnd w:id="8"/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Önemli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Müşterek imza ile temsil edilen kurumlar için müşterek imza gereklidir.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(Başvuru Sahibi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Sivil Toplum Kuruluşları</w:t>
      </w:r>
      <w:bookmarkStart w:id="9" w:name="_Hlk161842555"/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, Birlikler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, Kooperatifler</w:t>
      </w:r>
      <w:bookmarkEnd w:id="9"/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KALKINMA AJANSI GENEL SEKRETERLİĞİNE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urumumuz adına “………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kurumumuzu temsile, ilzama ve talebe ilişkin belgeleri imzalamaya “………….”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nın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yetkili kılınmasına karar verilmiştir. İlgili yetkilendirmeye ait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karar ve yetkilendirilen kişiye ait noter tasdikli imza sirküleri örneği ekte sunulmuştur.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kapsamında Ajans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 sunduğu talebe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konu olan faaliyet için, Ajans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tan aynı yıl içinde veya başka bir ulusal/uluslararası programdan aynı anda mali veya teknik destekten yararlanmamaktadır.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T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(KAYS)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…/…/20…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si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İmzası ve Mühür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EKLER: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1- Y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2- Faaliyet Belgesi örneği 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3- Yetkili kişiye ait noter tasdikli imza sirküleri örneği 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/>
      <w:bookmarkStart w:id="10" w:name="_Hlk161842575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Önemli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Müşterek imza ile temsil edilen kurumlar için müşterek imza gereklidir.</w:t>
      </w:r>
      <w:bookmarkEnd w:id="10"/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0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(Başvuru Sahibi Bölgeler,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bookmarkStart w:id="11" w:name="_Hlk161842686"/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Teknokentler</w:t>
      </w:r>
      <w:bookmarkEnd w:id="11"/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,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Siteler ve İş Geliştirme Merkezleri)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KALKINMA AJANSI GENEL SEKRETERLİĞİNE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tarih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sayılı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 göre kurulmuş olup Ankara’da faaliyetlerini sürdürmektedir.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kapsamında Kurumumuz adına “………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kurumumuzu temsile, ilzama ve talebe ilişkin belgeleri imzalamaya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aşağıda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tatbik imzası bulunan kurumumuz Müdürü/Başkanı (vb.) “…………………..” yetkili kişidir.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İlgili yetkilendirmeye ait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karar ve yetkilendirilen kişiye ait noter tasdikli imza sirküleri örneği ekte sunulmuştur.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psamında Ajans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 sunduğu talebe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konu olan faaliyet için, Ajans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tan aynı yıl içinde veya başka bir ulusal/uluslararası programdan aynı anda mali veya teknik destekten yararlanmamaktadır.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T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(KAYS)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…/…/20…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 Amiri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İmzası ve Mühür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’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nin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/>
      <w:bookmarkStart w:id="12" w:name="_Hlk161842728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EKLER: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/>
      <w:bookmarkStart w:id="13" w:name="_Hlk161842720"/>
      <w:r/>
      <w:bookmarkEnd w:id="12"/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1-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2-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Yetkili kişiye ait noter tasdikli imza sirküleri örneği</w:t>
      </w:r>
      <w:bookmarkEnd w:id="13"/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(Başvuru Sahibi Kar Amacı Güden Tüzel Kişiler)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KALKINMA AJANSI GENEL SEKRETERLİĞİNE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urumumuz adına “………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…….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kurumumuzu temsile, ilzama ve talebe ilişkin belgeleri imzalamaya “………….”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nın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yetkili kılınmasına karar verilmiştir. İlgili yetkilendirmeye ait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karar ve yetkilendirilen kişiye ait noter tasdikli imza sirküleri örneği ekte sunulmuştur.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2025 Yılı Sürdürülebilir Gıda Sistemleri Teknik Destek Programı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kapsamında Ajans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a sunduğu talebe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konu olan faaliyet için, Ajans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tan aynı yıl içinde veya başka bir ulusal/uluslararası programdan aynı anda mali veya teknik destekten yararlanmamaktadır.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T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(KAYS)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…/…/20…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si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İmzası ve Mühür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EKLER: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Cs/>
          <w:sz w:val="24"/>
          <w:szCs w:val="24"/>
          <w:lang w:val="tr-TR"/>
        </w:rPr>
        <w:t xml:space="preserve">1-</w:t>
      </w:r>
      <w:r>
        <w:rPr>
          <w:rFonts w:ascii="Times New Roman" w:hAnsi="Times New Roman" w:cs="Times New Roman"/>
          <w:bCs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r-TR"/>
        </w:rPr>
        <w:t xml:space="preserve">Faaliyet Belgesi örneği</w:t>
      </w:r>
      <w:r>
        <w:rPr>
          <w:rFonts w:ascii="Times New Roman" w:hAnsi="Times New Roman" w:cs="Times New Roman"/>
          <w:bCs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Cs/>
          <w:sz w:val="24"/>
          <w:szCs w:val="24"/>
          <w:lang w:val="tr-TR"/>
        </w:rPr>
        <w:t xml:space="preserve">2-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Y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3-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Yetkili kişiye ait noter tasdikli imza sirküleri örneği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r>
    </w:p>
    <w:p>
      <w:pPr>
        <w:pBdr>
          <w:bottom w:val="single" w:color="000000" w:sz="6" w:space="31"/>
        </w:pBdr>
        <w:spacing w:line="360" w:lineRule="auto"/>
        <w:ind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</w:r>
      <w:r>
        <w:rPr>
          <w:rFonts w:ascii="Times New Roman" w:hAnsi="Times New Roman" w:cs="Times New Roman"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p>
      <w:pPr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</w:r>
      <w:r>
        <w:rPr>
          <w:rFonts w:ascii="Times New Roman" w:hAnsi="Times New Roman" w:cs="Times New Roman"/>
          <w:b/>
          <w:sz w:val="24"/>
          <w:szCs w:val="24"/>
          <w:lang w:val="tr-TR"/>
        </w:rPr>
      </w:r>
    </w:p>
    <w:sectPr>
      <w:headerReference w:type="default" r:id="rId9"/>
      <w:footnotePr/>
      <w:endnotePr/>
      <w:type w:val="nextPage"/>
      <w:pgSz w:h="16838" w:orient="portrait" w:w="11906"/>
      <w:pgMar w:top="1670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  <w:pBdr/>
      <w:spacing/>
      <w:ind/>
      <w:rPr>
        <w:b/>
        <w:sz w:val="24"/>
        <w:szCs w:val="24"/>
        <w:lang w:val="tr-TR"/>
      </w:rPr>
    </w:pPr>
    <w:r>
      <w:rPr>
        <w:b/>
        <w:sz w:val="24"/>
        <w:szCs w:val="24"/>
        <w:lang w:val="tr-TR" w:eastAsia="tr-TR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-455295</wp:posOffset>
              </wp:positionH>
              <wp:positionV relativeFrom="paragraph">
                <wp:posOffset>-452755</wp:posOffset>
              </wp:positionV>
              <wp:extent cx="988695" cy="988695"/>
              <wp:effectExtent l="0" t="0" r="0" b="0"/>
              <wp:wrapNone/>
              <wp:docPr id="1" name="Resim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988695" cy="988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8240;o:allowoverlap:true;o:allowincell:true;mso-position-horizontal-relative:text;margin-left:-35.85pt;mso-position-horizontal:absolute;mso-position-vertical-relative:text;margin-top:-35.65pt;mso-position-vertical:absolute;width:77.85pt;height:77.85pt;mso-wrap-distance-left:9.00pt;mso-wrap-distance-top:0.00pt;mso-wrap-distance-right:9.00pt;mso-wrap-distance-bottom:0.00pt;z-index:1;" stroked="f">
              <v:imagedata r:id="rId1" o:title=""/>
              <o:lock v:ext="edit" rotation="t"/>
            </v:shape>
          </w:pict>
        </mc:Fallback>
      </mc:AlternateContent>
    </w:r>
    <w:r>
      <w:rPr>
        <w:b/>
        <w:sz w:val="24"/>
        <w:szCs w:val="24"/>
        <w:lang w:val="tr-TR"/>
      </w:rPr>
      <w:tab/>
    </w:r>
    <w:r>
      <w:rPr>
        <w:b/>
        <w:sz w:val="24"/>
        <w:szCs w:val="24"/>
        <w:lang w:val="tr-TR"/>
      </w:rPr>
      <w:tab/>
    </w:r>
    <w:r>
      <w:rPr>
        <w:b/>
        <w:sz w:val="24"/>
        <w:szCs w:val="24"/>
        <w:lang w:val="tr-TR"/>
      </w:rPr>
      <w:t xml:space="preserve">EK </w:t>
    </w:r>
    <w:r>
      <w:rPr>
        <w:b/>
        <w:sz w:val="24"/>
        <w:szCs w:val="24"/>
        <w:lang w:val="tr-TR"/>
      </w:rPr>
      <w:t xml:space="preserve">TD3</w:t>
    </w:r>
    <w:r>
      <w:rPr>
        <w:b/>
        <w:sz w:val="24"/>
        <w:szCs w:val="24"/>
        <w:lang w:val="tr-TR"/>
      </w:rPr>
    </w:r>
  </w:p>
  <w:p>
    <w:pPr>
      <w:pStyle w:val="751"/>
      <w:pBdr/>
      <w:spacing/>
      <w:ind/>
      <w:rPr/>
    </w:pPr>
    <w:r/>
    <w:r/>
  </w:p>
  <w:p>
    <w:pPr>
      <w:pStyle w:val="751"/>
      <w:pBdr/>
      <w:spacing/>
      <w:ind/>
      <w:rPr/>
    </w:pPr>
    <w:r>
      <w:rPr>
        <w:lang w:val="tr-TR" w:eastAsia="tr-TR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-168275</wp:posOffset>
              </wp:positionH>
              <wp:positionV relativeFrom="paragraph">
                <wp:posOffset>281940</wp:posOffset>
              </wp:positionV>
              <wp:extent cx="6035040" cy="635"/>
              <wp:effectExtent l="12700" t="5715" r="10160" b="12700"/>
              <wp:wrapNone/>
              <wp:docPr id="2" name="Auto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035039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32" type="#_x0000_t32" style="position:absolute;z-index:251657216;o:allowoverlap:true;o:allowincell:true;mso-position-horizontal-relative:text;margin-left:-13.25pt;mso-position-horizontal:absolute;mso-position-vertical-relative:text;margin-top:22.20pt;mso-position-vertical:absolute;width:475.20pt;height:0.05pt;mso-wrap-distance-left:9.00pt;mso-wrap-distance-top:0.00pt;mso-wrap-distance-right:9.00pt;mso-wrap-distance-bottom:0.00pt;visibility:visible;" filled="f" strokecolor="#000000" strokeweight="0.75pt"/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0" w:left="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1080"/>
      </w:pPr>
      <w:rPr>
        <w:rFonts w:hint="default" w:ascii="Symbol" w:hAnsi="Symbol"/>
      </w:rPr>
      <w:start w:val="1"/>
      <w:suff w:val="tab"/>
    </w:lvl>
    <w:lvl w:ilvl="2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520"/>
      </w:pPr>
      <w:rPr>
        <w:rFonts w:hint="default" w:ascii="Wingdings" w:hAnsi="Wingdings"/>
      </w:rPr>
      <w:start w:val="1"/>
      <w:suff w:val="tab"/>
    </w:lvl>
    <w:lvl w:ilvl="4">
      <w:isLgl w:val="false"/>
      <w:lvlJc w:val="left"/>
      <w:lvlText w:val=""/>
      <w:numFmt w:val="bullet"/>
      <w:pPr>
        <w:pBdr/>
        <w:tabs>
          <w:tab w:val="num" w:leader="none" w:pos="2880"/>
        </w:tabs>
        <w:spacing/>
        <w:ind w:hanging="360" w:left="3240"/>
      </w:pPr>
      <w:rPr>
        <w:rFonts w:hint="default" w:ascii="Wingdings" w:hAnsi="Wingdings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960"/>
      </w:pPr>
      <w:rPr>
        <w:rFonts w:hint="default" w:ascii="Symbol" w:hAnsi="Symbol"/>
      </w:rPr>
      <w:start w:val="1"/>
      <w:suff w:val="tab"/>
    </w:lvl>
    <w:lvl w:ilvl="6">
      <w:isLgl w:val="false"/>
      <w:lvlJc w:val="left"/>
      <w:lvlText w:val="o"/>
      <w:numFmt w:val="bullet"/>
      <w:pPr>
        <w:pBdr/>
        <w:tabs>
          <w:tab w:val="num" w:leader="none" w:pos="4320"/>
        </w:tabs>
        <w:spacing/>
        <w:ind w:hanging="360" w:left="4680"/>
      </w:pPr>
      <w:rPr>
        <w:rFonts w:hint="default" w:ascii="Courier New" w:hAnsi="Courier New" w:cs="Courier New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400"/>
      </w:pPr>
      <w:rPr>
        <w:rFonts w:hint="default" w:ascii="Wingdings" w:hAnsi="Wingdings"/>
      </w:rPr>
      <w:start w:val="1"/>
      <w:suff w:val="tab"/>
    </w:lvl>
    <w:lvl w:ilvl="8">
      <w:isLgl w:val="false"/>
      <w:lvlJc w:val="left"/>
      <w:lvlText w:val=""/>
      <w:numFmt w:val="bullet"/>
      <w:pPr>
        <w:pBdr/>
        <w:tabs>
          <w:tab w:val="num" w:leader="none" w:pos="5760"/>
        </w:tabs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-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"/>
      <w:numFmt w:val="bullet"/>
      <w:pPr>
        <w:pBdr/>
        <w:spacing/>
        <w:ind w:hanging="360" w:left="108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tr-TR" w:eastAsia="tr-T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4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4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4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4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4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4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4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4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4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4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4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4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4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46"/>
    <w:next w:val="746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46"/>
    <w:next w:val="746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46"/>
    <w:next w:val="746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46"/>
    <w:next w:val="746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46"/>
    <w:next w:val="746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46"/>
    <w:next w:val="746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46"/>
    <w:next w:val="746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46"/>
    <w:next w:val="746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46"/>
    <w:next w:val="746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46"/>
    <w:next w:val="746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46"/>
    <w:next w:val="746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46"/>
    <w:next w:val="746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46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7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46"/>
    <w:next w:val="746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46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746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747"/>
    <w:link w:val="175"/>
    <w:uiPriority w:val="99"/>
    <w:pPr>
      <w:pBdr/>
      <w:spacing/>
      <w:ind/>
    </w:pPr>
  </w:style>
  <w:style w:type="paragraph" w:styleId="177">
    <w:name w:val="Footer"/>
    <w:basedOn w:val="746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747"/>
    <w:link w:val="177"/>
    <w:uiPriority w:val="99"/>
    <w:pPr>
      <w:pBdr/>
      <w:spacing/>
      <w:ind/>
    </w:pPr>
  </w:style>
  <w:style w:type="paragraph" w:styleId="179">
    <w:name w:val="Caption"/>
    <w:basedOn w:val="746"/>
    <w:next w:val="74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46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46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46"/>
    <w:next w:val="746"/>
    <w:uiPriority w:val="39"/>
    <w:unhideWhenUsed/>
    <w:pPr>
      <w:pBdr/>
      <w:spacing w:after="100"/>
      <w:ind/>
    </w:pPr>
  </w:style>
  <w:style w:type="paragraph" w:styleId="189">
    <w:name w:val="toc 2"/>
    <w:basedOn w:val="746"/>
    <w:next w:val="746"/>
    <w:uiPriority w:val="39"/>
    <w:unhideWhenUsed/>
    <w:pPr>
      <w:pBdr/>
      <w:spacing w:after="100"/>
      <w:ind w:left="220"/>
    </w:pPr>
  </w:style>
  <w:style w:type="paragraph" w:styleId="190">
    <w:name w:val="toc 3"/>
    <w:basedOn w:val="746"/>
    <w:next w:val="746"/>
    <w:uiPriority w:val="39"/>
    <w:unhideWhenUsed/>
    <w:pPr>
      <w:pBdr/>
      <w:spacing w:after="100"/>
      <w:ind w:left="440"/>
    </w:pPr>
  </w:style>
  <w:style w:type="paragraph" w:styleId="191">
    <w:name w:val="toc 4"/>
    <w:basedOn w:val="746"/>
    <w:next w:val="746"/>
    <w:uiPriority w:val="39"/>
    <w:unhideWhenUsed/>
    <w:pPr>
      <w:pBdr/>
      <w:spacing w:after="100"/>
      <w:ind w:left="660"/>
    </w:pPr>
  </w:style>
  <w:style w:type="paragraph" w:styleId="192">
    <w:name w:val="toc 5"/>
    <w:basedOn w:val="746"/>
    <w:next w:val="746"/>
    <w:uiPriority w:val="39"/>
    <w:unhideWhenUsed/>
    <w:pPr>
      <w:pBdr/>
      <w:spacing w:after="100"/>
      <w:ind w:left="880"/>
    </w:pPr>
  </w:style>
  <w:style w:type="paragraph" w:styleId="193">
    <w:name w:val="toc 6"/>
    <w:basedOn w:val="746"/>
    <w:next w:val="746"/>
    <w:uiPriority w:val="39"/>
    <w:unhideWhenUsed/>
    <w:pPr>
      <w:pBdr/>
      <w:spacing w:after="100"/>
      <w:ind w:left="1100"/>
    </w:pPr>
  </w:style>
  <w:style w:type="paragraph" w:styleId="194">
    <w:name w:val="toc 7"/>
    <w:basedOn w:val="746"/>
    <w:next w:val="746"/>
    <w:uiPriority w:val="39"/>
    <w:unhideWhenUsed/>
    <w:pPr>
      <w:pBdr/>
      <w:spacing w:after="100"/>
      <w:ind w:left="1320"/>
    </w:pPr>
  </w:style>
  <w:style w:type="paragraph" w:styleId="195">
    <w:name w:val="toc 8"/>
    <w:basedOn w:val="746"/>
    <w:next w:val="746"/>
    <w:uiPriority w:val="39"/>
    <w:unhideWhenUsed/>
    <w:pPr>
      <w:pBdr/>
      <w:spacing w:after="100"/>
      <w:ind w:left="1540"/>
    </w:pPr>
  </w:style>
  <w:style w:type="paragraph" w:styleId="196">
    <w:name w:val="toc 9"/>
    <w:basedOn w:val="746"/>
    <w:next w:val="746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46"/>
    <w:next w:val="746"/>
    <w:uiPriority w:val="99"/>
    <w:unhideWhenUsed/>
    <w:pPr>
      <w:pBdr/>
      <w:spacing w:after="0" w:afterAutospacing="0"/>
      <w:ind/>
    </w:pPr>
  </w:style>
  <w:style w:type="paragraph" w:styleId="746" w:default="1">
    <w:name w:val="Normal"/>
    <w:qFormat/>
    <w:pPr>
      <w:widowControl w:val="false"/>
      <w:pBdr/>
      <w:spacing w:line="360" w:lineRule="atLeast"/>
      <w:ind/>
      <w:jc w:val="both"/>
    </w:pPr>
    <w:rPr>
      <w:rFonts w:ascii="Arial" w:hAnsi="Arial" w:eastAsia="Times New Roman" w:cs="Arial"/>
      <w:sz w:val="22"/>
      <w:szCs w:val="22"/>
      <w:lang w:val="en-GB" w:eastAsia="en-US"/>
    </w:rPr>
  </w:style>
  <w:style w:type="character" w:styleId="747" w:default="1">
    <w:name w:val="Default Paragraph Font"/>
    <w:uiPriority w:val="1"/>
    <w:semiHidden/>
    <w:unhideWhenUsed/>
    <w:pPr>
      <w:pBdr/>
      <w:spacing/>
      <w:ind/>
    </w:pPr>
  </w:style>
  <w:style w:type="table" w:styleId="74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49" w:default="1">
    <w:name w:val="No List"/>
    <w:uiPriority w:val="99"/>
    <w:semiHidden/>
    <w:unhideWhenUsed/>
    <w:pPr>
      <w:pBdr/>
      <w:spacing/>
      <w:ind/>
    </w:pPr>
  </w:style>
  <w:style w:type="paragraph" w:styleId="750" w:customStyle="1">
    <w:name w:val="SubTitle 2"/>
    <w:basedOn w:val="746"/>
    <w:pPr>
      <w:pBdr/>
      <w:spacing w:after="240"/>
      <w:ind/>
      <w:jc w:val="center"/>
    </w:pPr>
    <w:rPr>
      <w:b/>
      <w:sz w:val="32"/>
    </w:rPr>
  </w:style>
  <w:style w:type="paragraph" w:styleId="751" w:customStyle="1">
    <w:name w:val="Üstbilgi"/>
    <w:basedOn w:val="746"/>
    <w:link w:val="752"/>
    <w:uiPriority w:val="99"/>
    <w:unhideWhenUsed/>
    <w:pPr>
      <w:pBdr/>
      <w:tabs>
        <w:tab w:val="center" w:leader="none" w:pos="4536"/>
        <w:tab w:val="right" w:leader="none" w:pos="9072"/>
      </w:tabs>
      <w:spacing w:line="240" w:lineRule="auto"/>
      <w:ind/>
    </w:pPr>
  </w:style>
  <w:style w:type="character" w:styleId="752" w:customStyle="1">
    <w:name w:val="Üstbilgi Char"/>
    <w:link w:val="751"/>
    <w:uiPriority w:val="99"/>
    <w:pPr>
      <w:pBdr/>
      <w:spacing/>
      <w:ind/>
    </w:pPr>
    <w:rPr>
      <w:rFonts w:ascii="Arial" w:hAnsi="Arial" w:eastAsia="Times New Roman" w:cs="Arial"/>
      <w:lang w:val="en-GB"/>
    </w:rPr>
  </w:style>
  <w:style w:type="paragraph" w:styleId="753" w:customStyle="1">
    <w:name w:val="Altbilgi"/>
    <w:basedOn w:val="746"/>
    <w:link w:val="754"/>
    <w:uiPriority w:val="99"/>
    <w:unhideWhenUsed/>
    <w:pPr>
      <w:pBdr/>
      <w:tabs>
        <w:tab w:val="center" w:leader="none" w:pos="4536"/>
        <w:tab w:val="right" w:leader="none" w:pos="9072"/>
      </w:tabs>
      <w:spacing w:line="240" w:lineRule="auto"/>
      <w:ind/>
    </w:pPr>
  </w:style>
  <w:style w:type="character" w:styleId="754" w:customStyle="1">
    <w:name w:val="Altbilgi Char"/>
    <w:link w:val="753"/>
    <w:uiPriority w:val="99"/>
    <w:pPr>
      <w:pBdr/>
      <w:spacing/>
      <w:ind/>
    </w:pPr>
    <w:rPr>
      <w:rFonts w:ascii="Arial" w:hAnsi="Arial" w:eastAsia="Times New Roman" w:cs="Arial"/>
      <w:lang w:val="en-GB"/>
    </w:rPr>
  </w:style>
  <w:style w:type="character" w:styleId="755">
    <w:name w:val="annotation reference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756">
    <w:name w:val="annotation text"/>
    <w:basedOn w:val="746"/>
    <w:link w:val="757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757" w:customStyle="1">
    <w:name w:val="Açıklama Metni Char"/>
    <w:link w:val="756"/>
    <w:uiPriority w:val="99"/>
    <w:semiHidden/>
    <w:pPr>
      <w:pBdr/>
      <w:spacing/>
      <w:ind/>
    </w:pPr>
    <w:rPr>
      <w:rFonts w:ascii="Arial" w:hAnsi="Arial" w:eastAsia="Times New Roman" w:cs="Arial"/>
      <w:lang w:val="en-GB" w:eastAsia="en-US"/>
    </w:rPr>
  </w:style>
  <w:style w:type="paragraph" w:styleId="758">
    <w:name w:val="annotation subject"/>
    <w:basedOn w:val="756"/>
    <w:next w:val="756"/>
    <w:link w:val="759"/>
    <w:uiPriority w:val="99"/>
    <w:semiHidden/>
    <w:unhideWhenUsed/>
    <w:pPr>
      <w:pBdr/>
      <w:spacing/>
      <w:ind/>
    </w:pPr>
    <w:rPr>
      <w:b/>
      <w:bCs/>
    </w:rPr>
  </w:style>
  <w:style w:type="character" w:styleId="759" w:customStyle="1">
    <w:name w:val="Açıklama Konusu Char"/>
    <w:link w:val="758"/>
    <w:uiPriority w:val="99"/>
    <w:semiHidden/>
    <w:pPr>
      <w:pBdr/>
      <w:spacing/>
      <w:ind/>
    </w:pPr>
    <w:rPr>
      <w:rFonts w:ascii="Arial" w:hAnsi="Arial" w:eastAsia="Times New Roman" w:cs="Arial"/>
      <w:b/>
      <w:bCs/>
      <w:lang w:val="en-GB" w:eastAsia="en-US"/>
    </w:rPr>
  </w:style>
  <w:style w:type="paragraph" w:styleId="760">
    <w:name w:val="Balloon Text"/>
    <w:basedOn w:val="746"/>
    <w:link w:val="761"/>
    <w:uiPriority w:val="99"/>
    <w:semiHidden/>
    <w:unhideWhenUsed/>
    <w:pPr>
      <w:pBdr/>
      <w:spacing w:line="240" w:lineRule="auto"/>
      <w:ind/>
    </w:pPr>
    <w:rPr>
      <w:rFonts w:ascii="Tahoma" w:hAnsi="Tahoma" w:cs="Tahoma"/>
      <w:sz w:val="16"/>
      <w:szCs w:val="16"/>
    </w:rPr>
  </w:style>
  <w:style w:type="character" w:styleId="761" w:customStyle="1">
    <w:name w:val="Balon Metni Char"/>
    <w:link w:val="760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  <w:lang w:val="en-GB" w:eastAsia="en-US"/>
    </w:rPr>
  </w:style>
  <w:style w:type="paragraph" w:styleId="762" w:customStyle="1">
    <w:name w:val="Default"/>
    <w:pPr>
      <w:pBdr/>
      <w:spacing/>
      <w:ind/>
    </w:pPr>
    <w:rPr>
      <w:rFonts w:ascii="Times New Roman" w:hAnsi="Times New Roman" w:eastAsia="Times New Roman"/>
      <w:color w:val="000000"/>
      <w:sz w:val="24"/>
      <w:szCs w:val="24"/>
    </w:rPr>
  </w:style>
  <w:style w:type="paragraph" w:styleId="763" w:customStyle="1">
    <w:name w:val="Orta Kılavuz 21"/>
    <w:uiPriority w:val="1"/>
    <w:qFormat/>
    <w:pPr>
      <w:widowControl w:val="false"/>
      <w:pBdr/>
      <w:spacing/>
      <w:ind/>
      <w:jc w:val="both"/>
    </w:pPr>
    <w:rPr>
      <w:rFonts w:ascii="Arial" w:hAnsi="Arial" w:eastAsia="Times New Roman" w:cs="Arial"/>
      <w:sz w:val="22"/>
      <w:szCs w:val="22"/>
      <w:lang w:val="en-GB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69914-946F-4E09-AC5E-FAB8B03E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>Hewlett-Packard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EK_F_destekleyici_belgeler</dc:title>
  <dc:subject/>
  <dc:creator>ANKARKA-PYB</dc:creator>
  <cp:keywords/>
  <cp:lastModifiedBy>  Zekai  EFEOĞLU</cp:lastModifiedBy>
  <cp:revision>4</cp:revision>
  <dcterms:created xsi:type="dcterms:W3CDTF">2025-03-12T07:09:00Z</dcterms:created>
  <dcterms:modified xsi:type="dcterms:W3CDTF">2025-05-02T11:32:23Z</dcterms:modified>
</cp:coreProperties>
</file>